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DD" w:rsidRDefault="0001187D">
      <w:pPr>
        <w:spacing w:after="120"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  <w:highlight w:val="white"/>
        </w:rPr>
      </w:pPr>
      <w:r>
        <w:rPr>
          <w:noProof/>
          <w:highlight w:val="white"/>
        </w:rPr>
        <w:drawing>
          <wp:inline distT="0" distB="0" distL="0" distR="0">
            <wp:extent cx="1691640" cy="1676400"/>
            <wp:effectExtent l="0" t="0" r="0" b="0"/>
            <wp:docPr id="223" name="image1.png" descr="Primary Schools - Brain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rimary Schools - Brainbo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75DD" w:rsidRDefault="0001187D">
      <w:pPr>
        <w:spacing w:after="120" w:line="240" w:lineRule="auto"/>
        <w:rPr>
          <w:rFonts w:ascii="Arial" w:eastAsia="Arial" w:hAnsi="Arial" w:cs="Arial"/>
          <w:b/>
          <w:color w:val="FF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F0000"/>
          <w:sz w:val="28"/>
          <w:szCs w:val="28"/>
          <w:highlight w:val="white"/>
        </w:rPr>
        <w:t xml:space="preserve">                                 COOSAN NATIONAL SCHOOL</w:t>
      </w:r>
    </w:p>
    <w:p w:rsidR="000475DD" w:rsidRDefault="0001187D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F0000"/>
          <w:sz w:val="28"/>
          <w:szCs w:val="28"/>
          <w:highlight w:val="white"/>
        </w:rPr>
        <w:t>ANNUAL ADMISSION NOTICE</w:t>
      </w:r>
    </w:p>
    <w:p w:rsidR="000475DD" w:rsidRDefault="0001187D">
      <w:pPr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color w:val="FF0000"/>
          <w:sz w:val="28"/>
          <w:szCs w:val="28"/>
          <w:highlight w:val="white"/>
        </w:rPr>
      </w:pPr>
      <w:proofErr w:type="gramStart"/>
      <w:r>
        <w:rPr>
          <w:rFonts w:ascii="Arial" w:eastAsia="Arial" w:hAnsi="Arial" w:cs="Arial"/>
          <w:b/>
          <w:color w:val="FF0000"/>
          <w:sz w:val="28"/>
          <w:szCs w:val="28"/>
          <w:highlight w:val="white"/>
        </w:rPr>
        <w:t>in</w:t>
      </w:r>
      <w:proofErr w:type="gramEnd"/>
      <w:r>
        <w:rPr>
          <w:rFonts w:ascii="Arial" w:eastAsia="Arial" w:hAnsi="Arial" w:cs="Arial"/>
          <w:b/>
          <w:color w:val="FF0000"/>
          <w:sz w:val="28"/>
          <w:szCs w:val="28"/>
          <w:highlight w:val="white"/>
        </w:rPr>
        <w:t xml:space="preserve"> respect of admissions to the 2023/2024 school year</w:t>
      </w:r>
    </w:p>
    <w:p w:rsidR="000475DD" w:rsidRDefault="000475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/>
          <w:color w:val="385623"/>
          <w:sz w:val="24"/>
          <w:szCs w:val="24"/>
          <w:highlight w:val="white"/>
        </w:rPr>
      </w:pPr>
    </w:p>
    <w:p w:rsidR="000475DD" w:rsidRDefault="000118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385623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385623"/>
          <w:sz w:val="24"/>
          <w:szCs w:val="24"/>
          <w:highlight w:val="white"/>
        </w:rPr>
        <w:t>Admission Policy and Application Form</w:t>
      </w:r>
    </w:p>
    <w:p w:rsidR="000475DD" w:rsidRDefault="0001187D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A copy of the school’s </w:t>
      </w:r>
      <w:r>
        <w:rPr>
          <w:rFonts w:ascii="Arial" w:eastAsia="Arial" w:hAnsi="Arial" w:cs="Arial"/>
          <w:b/>
          <w:highlight w:val="white"/>
        </w:rPr>
        <w:t>Admission Policy</w:t>
      </w:r>
      <w:r>
        <w:rPr>
          <w:rFonts w:ascii="Arial" w:eastAsia="Arial" w:hAnsi="Arial" w:cs="Arial"/>
          <w:highlight w:val="white"/>
        </w:rPr>
        <w:t xml:space="preserve"> and the </w:t>
      </w:r>
      <w:r>
        <w:rPr>
          <w:rFonts w:ascii="Arial" w:eastAsia="Arial" w:hAnsi="Arial" w:cs="Arial"/>
          <w:b/>
          <w:highlight w:val="white"/>
        </w:rPr>
        <w:t>Application Form for Admission</w:t>
      </w:r>
      <w:r>
        <w:rPr>
          <w:rFonts w:ascii="Arial" w:eastAsia="Arial" w:hAnsi="Arial" w:cs="Arial"/>
          <w:highlight w:val="white"/>
        </w:rPr>
        <w:t xml:space="preserve"> for the 2023/2024 school year is available as follows: –</w:t>
      </w:r>
    </w:p>
    <w:p w:rsidR="000475DD" w:rsidRDefault="0001187D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  <w:highlight w:val="white"/>
          <w:u w:val="single"/>
        </w:rPr>
      </w:pPr>
      <w:r>
        <w:rPr>
          <w:rFonts w:ascii="Arial" w:eastAsia="Arial" w:hAnsi="Arial" w:cs="Arial"/>
          <w:highlight w:val="white"/>
        </w:rPr>
        <w:t xml:space="preserve">To download at: </w:t>
      </w:r>
      <w:r>
        <w:rPr>
          <w:rFonts w:ascii="Arial" w:eastAsia="Arial" w:hAnsi="Arial" w:cs="Arial"/>
          <w:color w:val="0563C1"/>
          <w:highlight w:val="white"/>
          <w:u w:val="single"/>
        </w:rPr>
        <w:t>www.coosannationalschool.ie</w:t>
      </w:r>
    </w:p>
    <w:p w:rsidR="000475DD" w:rsidRDefault="000475DD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eastAsia="Arial" w:hAnsi="Arial" w:cs="Arial"/>
          <w:highlight w:val="white"/>
        </w:rPr>
      </w:pPr>
    </w:p>
    <w:p w:rsidR="000475DD" w:rsidRDefault="000475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Arial" w:eastAsia="Arial" w:hAnsi="Arial" w:cs="Arial"/>
          <w:b/>
          <w:color w:val="385623"/>
          <w:highlight w:val="white"/>
        </w:rPr>
      </w:pPr>
    </w:p>
    <w:p w:rsidR="000475DD" w:rsidRDefault="000118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b/>
          <w:color w:val="385623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385623"/>
          <w:sz w:val="28"/>
          <w:szCs w:val="28"/>
          <w:highlight w:val="white"/>
        </w:rPr>
        <w:t>PART 1</w:t>
      </w:r>
      <w:r>
        <w:rPr>
          <w:rFonts w:ascii="Arial" w:eastAsia="Arial" w:hAnsi="Arial" w:cs="Arial"/>
          <w:b/>
          <w:color w:val="385623"/>
          <w:sz w:val="24"/>
          <w:szCs w:val="24"/>
          <w:highlight w:val="white"/>
        </w:rPr>
        <w:t xml:space="preserve"> - Admissions to the 2023/2024 school year</w:t>
      </w:r>
    </w:p>
    <w:p w:rsidR="000475DD" w:rsidRDefault="000475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385623"/>
          <w:sz w:val="24"/>
          <w:szCs w:val="24"/>
          <w:highlight w:val="white"/>
        </w:rPr>
      </w:pPr>
    </w:p>
    <w:p w:rsidR="000475DD" w:rsidRDefault="000118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385623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385623"/>
          <w:sz w:val="24"/>
          <w:szCs w:val="24"/>
          <w:highlight w:val="white"/>
        </w:rPr>
        <w:t>Application and Decision Dates for admission to 2023/2024 school year</w:t>
      </w:r>
    </w:p>
    <w:p w:rsidR="000475DD" w:rsidRDefault="000118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385623"/>
          <w:highlight w:val="white"/>
        </w:rPr>
      </w:pPr>
      <w:r>
        <w:rPr>
          <w:rFonts w:ascii="Arial" w:eastAsia="Arial" w:hAnsi="Arial" w:cs="Arial"/>
          <w:color w:val="385623"/>
          <w:highlight w:val="white"/>
        </w:rPr>
        <w:t>The following are the dates applicable for admission to Junior Infants.</w:t>
      </w:r>
    </w:p>
    <w:p w:rsidR="000475DD" w:rsidRDefault="0004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  <w:highlight w:val="white"/>
        </w:rPr>
      </w:pPr>
    </w:p>
    <w:tbl>
      <w:tblPr>
        <w:tblStyle w:val="a7"/>
        <w:tblW w:w="902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1791"/>
      </w:tblGrid>
      <w:tr w:rsidR="000475DD">
        <w:tc>
          <w:tcPr>
            <w:tcW w:w="7230" w:type="dxa"/>
          </w:tcPr>
          <w:p w:rsidR="000475DD" w:rsidRDefault="00011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475DD" w:rsidRDefault="00011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01/02/202</w:t>
            </w:r>
            <w:r>
              <w:rPr>
                <w:rFonts w:ascii="Arial" w:eastAsia="Arial" w:hAnsi="Arial" w:cs="Arial"/>
                <w:highlight w:val="white"/>
              </w:rPr>
              <w:t>3</w:t>
            </w:r>
          </w:p>
        </w:tc>
      </w:tr>
      <w:tr w:rsidR="000475DD">
        <w:tc>
          <w:tcPr>
            <w:tcW w:w="7230" w:type="dxa"/>
          </w:tcPr>
          <w:p w:rsidR="000475DD" w:rsidRDefault="00011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The school shall cease accepting applications for admission at 3pm on  </w:t>
            </w:r>
          </w:p>
        </w:tc>
        <w:tc>
          <w:tcPr>
            <w:tcW w:w="1791" w:type="dxa"/>
          </w:tcPr>
          <w:p w:rsidR="000475DD" w:rsidRDefault="00011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2</w:t>
            </w:r>
            <w:r>
              <w:rPr>
                <w:rFonts w:ascii="Arial" w:eastAsia="Arial" w:hAnsi="Arial" w:cs="Arial"/>
                <w:highlight w:val="white"/>
              </w:rPr>
              <w:t>8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>/02/2</w:t>
            </w:r>
            <w:r>
              <w:rPr>
                <w:rFonts w:ascii="Arial" w:eastAsia="Arial" w:hAnsi="Arial" w:cs="Arial"/>
                <w:highlight w:val="white"/>
              </w:rPr>
              <w:t>0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>2</w:t>
            </w:r>
            <w:r>
              <w:rPr>
                <w:rFonts w:ascii="Arial" w:eastAsia="Arial" w:hAnsi="Arial" w:cs="Arial"/>
                <w:highlight w:val="white"/>
              </w:rPr>
              <w:t>3</w:t>
            </w:r>
          </w:p>
        </w:tc>
      </w:tr>
      <w:tr w:rsidR="000475DD">
        <w:tc>
          <w:tcPr>
            <w:tcW w:w="7230" w:type="dxa"/>
          </w:tcPr>
          <w:p w:rsidR="000475DD" w:rsidRDefault="00011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475DD" w:rsidRDefault="00011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21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>/03/202</w:t>
            </w:r>
            <w:r>
              <w:rPr>
                <w:rFonts w:ascii="Arial" w:eastAsia="Arial" w:hAnsi="Arial" w:cs="Arial"/>
                <w:highlight w:val="white"/>
              </w:rPr>
              <w:t>3</w:t>
            </w:r>
          </w:p>
        </w:tc>
      </w:tr>
      <w:tr w:rsidR="000475DD">
        <w:tc>
          <w:tcPr>
            <w:tcW w:w="7230" w:type="dxa"/>
          </w:tcPr>
          <w:p w:rsidR="000475DD" w:rsidRDefault="00011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The period within which applicants must confirm acceptance of an offer of admission is 3pm on</w:t>
            </w:r>
          </w:p>
        </w:tc>
        <w:tc>
          <w:tcPr>
            <w:tcW w:w="1791" w:type="dxa"/>
          </w:tcPr>
          <w:p w:rsidR="000475DD" w:rsidRDefault="00011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2</w:t>
            </w:r>
            <w:r>
              <w:rPr>
                <w:rFonts w:ascii="Arial" w:eastAsia="Arial" w:hAnsi="Arial" w:cs="Arial"/>
                <w:highlight w:val="white"/>
              </w:rPr>
              <w:t>8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>/03/202</w:t>
            </w:r>
            <w:r>
              <w:rPr>
                <w:rFonts w:ascii="Arial" w:eastAsia="Arial" w:hAnsi="Arial" w:cs="Arial"/>
                <w:highlight w:val="white"/>
              </w:rPr>
              <w:t>3</w:t>
            </w:r>
          </w:p>
        </w:tc>
      </w:tr>
    </w:tbl>
    <w:p w:rsidR="000475DD" w:rsidRDefault="00047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white"/>
        </w:rPr>
      </w:pPr>
    </w:p>
    <w:p w:rsidR="000475DD" w:rsidRDefault="000118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Note: the school will consider and issue decisions on late applications in accordance with the school’s admission policy.</w:t>
      </w:r>
    </w:p>
    <w:p w:rsidR="000475DD" w:rsidRDefault="00047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FF0000"/>
          <w:highlight w:val="white"/>
        </w:rPr>
      </w:pPr>
    </w:p>
    <w:p w:rsidR="000475DD" w:rsidRDefault="00047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highlight w:val="white"/>
        </w:rPr>
      </w:pPr>
    </w:p>
    <w:p w:rsidR="000475DD" w:rsidRDefault="000118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385623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385623"/>
          <w:sz w:val="24"/>
          <w:szCs w:val="24"/>
          <w:highlight w:val="white"/>
        </w:rPr>
        <w:t>Special Class Application and Decision Dates for admission to 2023/2024 school year.</w:t>
      </w:r>
    </w:p>
    <w:p w:rsidR="000475DD" w:rsidRDefault="0001187D">
      <w:pPr>
        <w:tabs>
          <w:tab w:val="left" w:pos="1305"/>
        </w:tabs>
        <w:spacing w:line="276" w:lineRule="auto"/>
        <w:rPr>
          <w:rFonts w:ascii="Arial" w:eastAsia="Arial" w:hAnsi="Arial" w:cs="Arial"/>
          <w:color w:val="385623"/>
          <w:highlight w:val="white"/>
        </w:rPr>
      </w:pPr>
      <w:r>
        <w:rPr>
          <w:rFonts w:ascii="Arial" w:eastAsia="Arial" w:hAnsi="Arial" w:cs="Arial"/>
          <w:color w:val="385623"/>
          <w:highlight w:val="white"/>
        </w:rPr>
        <w:t>The following are the dates applicable for admission to the school’s Special Class which caters for children with ASD.</w:t>
      </w:r>
    </w:p>
    <w:tbl>
      <w:tblPr>
        <w:tblStyle w:val="a8"/>
        <w:tblW w:w="902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  <w:gridCol w:w="1933"/>
      </w:tblGrid>
      <w:tr w:rsidR="000475DD">
        <w:tc>
          <w:tcPr>
            <w:tcW w:w="7088" w:type="dxa"/>
          </w:tcPr>
          <w:p w:rsidR="000475DD" w:rsidRDefault="00011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after="160" w:line="276" w:lineRule="auto"/>
              <w:jc w:val="both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lastRenderedPageBreak/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0475DD" w:rsidRDefault="00011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after="16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01/02/202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3</w:t>
            </w:r>
          </w:p>
        </w:tc>
      </w:tr>
      <w:tr w:rsidR="000475DD">
        <w:trPr>
          <w:trHeight w:val="455"/>
        </w:trPr>
        <w:tc>
          <w:tcPr>
            <w:tcW w:w="7088" w:type="dxa"/>
          </w:tcPr>
          <w:p w:rsidR="000475DD" w:rsidRDefault="00011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after="160" w:line="276" w:lineRule="auto"/>
              <w:jc w:val="both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The school shall cease accepting applications for admission to the special class at 3pm on</w:t>
            </w:r>
          </w:p>
        </w:tc>
        <w:tc>
          <w:tcPr>
            <w:tcW w:w="1933" w:type="dxa"/>
          </w:tcPr>
          <w:p w:rsidR="000475DD" w:rsidRDefault="00011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after="16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/02/202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3</w:t>
            </w:r>
          </w:p>
        </w:tc>
      </w:tr>
      <w:tr w:rsidR="000475DD">
        <w:tc>
          <w:tcPr>
            <w:tcW w:w="7088" w:type="dxa"/>
          </w:tcPr>
          <w:p w:rsidR="000475DD" w:rsidRDefault="00011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after="160" w:line="276" w:lineRule="auto"/>
              <w:jc w:val="both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0475DD" w:rsidRDefault="00011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after="16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21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/03/202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3</w:t>
            </w:r>
          </w:p>
        </w:tc>
      </w:tr>
      <w:tr w:rsidR="000475DD">
        <w:trPr>
          <w:trHeight w:val="445"/>
        </w:trPr>
        <w:tc>
          <w:tcPr>
            <w:tcW w:w="7088" w:type="dxa"/>
          </w:tcPr>
          <w:p w:rsidR="000475DD" w:rsidRDefault="00011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after="160" w:line="276" w:lineRule="auto"/>
              <w:jc w:val="both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The period within which applicants must confirm acceptance of an offer of admission is 3pm on</w:t>
            </w:r>
          </w:p>
        </w:tc>
        <w:tc>
          <w:tcPr>
            <w:tcW w:w="1933" w:type="dxa"/>
          </w:tcPr>
          <w:p w:rsidR="000475DD" w:rsidRDefault="00011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</w:tabs>
              <w:spacing w:after="16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28/03/202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3</w:t>
            </w:r>
          </w:p>
        </w:tc>
      </w:tr>
    </w:tbl>
    <w:p w:rsidR="000475DD" w:rsidRDefault="000118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*Failure to accept an offer within the prescribed period above may result in the offer being withdrawn</w:t>
      </w:r>
    </w:p>
    <w:p w:rsidR="000475DD" w:rsidRDefault="000118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/>
        <w:rPr>
          <w:rFonts w:ascii="Arial" w:eastAsia="Arial" w:hAnsi="Arial" w:cs="Arial"/>
          <w:b/>
          <w:color w:val="385623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385623"/>
          <w:sz w:val="24"/>
          <w:szCs w:val="24"/>
          <w:highlight w:val="white"/>
        </w:rPr>
        <w:t>Number of places being made available in 2023/2024</w:t>
      </w:r>
    </w:p>
    <w:p w:rsidR="000475DD" w:rsidRDefault="000475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</w:p>
    <w:tbl>
      <w:tblPr>
        <w:tblStyle w:val="a9"/>
        <w:tblW w:w="9163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3"/>
        <w:gridCol w:w="1650"/>
      </w:tblGrid>
      <w:tr w:rsidR="000475DD">
        <w:tc>
          <w:tcPr>
            <w:tcW w:w="7513" w:type="dxa"/>
          </w:tcPr>
          <w:p w:rsidR="000475DD" w:rsidRDefault="00011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:rsidR="000475DD" w:rsidRDefault="00011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50</w:t>
            </w:r>
          </w:p>
        </w:tc>
      </w:tr>
      <w:tr w:rsidR="000475DD">
        <w:tc>
          <w:tcPr>
            <w:tcW w:w="7513" w:type="dxa"/>
          </w:tcPr>
          <w:p w:rsidR="000475DD" w:rsidRDefault="00011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The number of places being made available in the special class* catering for children with ASD  is</w:t>
            </w:r>
          </w:p>
        </w:tc>
        <w:tc>
          <w:tcPr>
            <w:tcW w:w="1650" w:type="dxa"/>
          </w:tcPr>
          <w:p w:rsidR="000475DD" w:rsidRDefault="00011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1</w:t>
            </w:r>
          </w:p>
        </w:tc>
      </w:tr>
    </w:tbl>
    <w:p w:rsidR="000475DD" w:rsidRDefault="00047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highlight w:val="white"/>
        </w:rPr>
      </w:pPr>
    </w:p>
    <w:p w:rsidR="000475DD" w:rsidRDefault="00047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highlight w:val="white"/>
        </w:rPr>
      </w:pPr>
    </w:p>
    <w:p w:rsidR="000475DD" w:rsidRDefault="00047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highlight w:val="white"/>
        </w:rPr>
      </w:pPr>
    </w:p>
    <w:p w:rsidR="000475DD" w:rsidRDefault="0001187D">
      <w:pPr>
        <w:spacing w:line="276" w:lineRule="auto"/>
        <w:jc w:val="center"/>
        <w:rPr>
          <w:rFonts w:ascii="Arial" w:eastAsia="Arial" w:hAnsi="Arial" w:cs="Arial"/>
          <w:b/>
          <w:color w:val="385623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385623"/>
          <w:sz w:val="28"/>
          <w:szCs w:val="28"/>
          <w:highlight w:val="white"/>
        </w:rPr>
        <w:t>PART 2</w:t>
      </w:r>
      <w:r>
        <w:rPr>
          <w:rFonts w:ascii="Arial" w:eastAsia="Arial" w:hAnsi="Arial" w:cs="Arial"/>
          <w:b/>
          <w:color w:val="385623"/>
          <w:sz w:val="24"/>
          <w:szCs w:val="24"/>
          <w:highlight w:val="white"/>
        </w:rPr>
        <w:t xml:space="preserve"> - Admissions to the 2022-2023 school year</w:t>
      </w:r>
    </w:p>
    <w:p w:rsidR="000475DD" w:rsidRDefault="000118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(This section should only be completed if your school intake group/ special class was oversubscribed in the previous school year) </w:t>
      </w:r>
    </w:p>
    <w:p w:rsidR="000475DD" w:rsidRDefault="00047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highlight w:val="white"/>
        </w:rPr>
      </w:pPr>
    </w:p>
    <w:p w:rsidR="000475DD" w:rsidRDefault="0001187D">
      <w:pPr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In respect of the 2022-2023 school year, the total number of applications for admissi</w:t>
      </w:r>
      <w:r w:rsidR="00B05C36">
        <w:rPr>
          <w:rFonts w:ascii="Arial" w:eastAsia="Arial" w:hAnsi="Arial" w:cs="Arial"/>
          <w:highlight w:val="white"/>
        </w:rPr>
        <w:t>on received by the school was 82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5920105" cy="829387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0235" y="3541875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75DD" w:rsidRDefault="0001187D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85623"/>
                                <w:sz w:val="24"/>
                              </w:rPr>
                              <w:t>Information regarding the admission process for the Intake Group for Junior Infants/Special Class for the 2022-2023 school year</w:t>
                            </w:r>
                          </w:p>
                          <w:p w:rsidR="000475DD" w:rsidRDefault="000475DD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5920105" cy="829387"/>
                <wp:effectExtent b="0" l="0" r="0" t="0"/>
                <wp:wrapSquare wrapText="bothSides" distB="45720" distT="45720" distL="114300" distR="114300"/>
                <wp:docPr id="22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0105" cy="8293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a"/>
        <w:tblW w:w="96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5126"/>
      </w:tblGrid>
      <w:tr w:rsidR="000475DD">
        <w:tc>
          <w:tcPr>
            <w:tcW w:w="9634" w:type="dxa"/>
            <w:gridSpan w:val="2"/>
          </w:tcPr>
          <w:p w:rsidR="000475DD" w:rsidRDefault="0001187D">
            <w:pP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Breakdown of places allocated for the 2022-2023 school year:</w:t>
            </w:r>
          </w:p>
        </w:tc>
      </w:tr>
      <w:tr w:rsidR="000475DD">
        <w:trPr>
          <w:trHeight w:val="150"/>
        </w:trPr>
        <w:tc>
          <w:tcPr>
            <w:tcW w:w="4508" w:type="dxa"/>
          </w:tcPr>
          <w:p w:rsidR="000475DD" w:rsidRDefault="0001187D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Number of places available:</w:t>
            </w:r>
          </w:p>
        </w:tc>
        <w:tc>
          <w:tcPr>
            <w:tcW w:w="5126" w:type="dxa"/>
          </w:tcPr>
          <w:p w:rsidR="000475DD" w:rsidRDefault="0001187D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                51 </w:t>
            </w:r>
          </w:p>
        </w:tc>
      </w:tr>
      <w:tr w:rsidR="000475DD">
        <w:tc>
          <w:tcPr>
            <w:tcW w:w="4508" w:type="dxa"/>
          </w:tcPr>
          <w:p w:rsidR="000475DD" w:rsidRDefault="0001187D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Number of applications received:</w:t>
            </w:r>
          </w:p>
        </w:tc>
        <w:tc>
          <w:tcPr>
            <w:tcW w:w="5126" w:type="dxa"/>
          </w:tcPr>
          <w:p w:rsidR="000475DD" w:rsidRDefault="0001187D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                82</w:t>
            </w:r>
          </w:p>
          <w:p w:rsidR="000475DD" w:rsidRDefault="0001187D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           </w:t>
            </w:r>
          </w:p>
        </w:tc>
      </w:tr>
      <w:tr w:rsidR="000475DD">
        <w:trPr>
          <w:trHeight w:val="3480"/>
        </w:trPr>
        <w:tc>
          <w:tcPr>
            <w:tcW w:w="4508" w:type="dxa"/>
          </w:tcPr>
          <w:p w:rsidR="000475DD" w:rsidRDefault="0001187D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0475DD" w:rsidRDefault="0001187D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A description of each criterion used and the number of places offered and accepted under that criterion must be entered here.</w:t>
            </w:r>
          </w:p>
          <w:p w:rsidR="000475DD" w:rsidRDefault="0001187D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Criterion One: Children resident in townlands/housing developments within a radius of 1.2km (as per appendix A) of the school (as measured by ordnance survey map), plus children whose nearest school is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Coosan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National School in order of age, priority to the eldest. </w:t>
            </w:r>
          </w:p>
          <w:p w:rsidR="000475DD" w:rsidRDefault="0001187D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Offered 50</w:t>
            </w:r>
          </w:p>
          <w:p w:rsidR="000475DD" w:rsidRDefault="0001187D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white"/>
              </w:rPr>
              <w:t>Accepted 48</w:t>
            </w:r>
            <w:r>
              <w:rPr>
                <w:rFonts w:ascii="Arial" w:eastAsia="Arial" w:hAnsi="Arial" w:cs="Arial"/>
                <w:highlight w:val="yellow"/>
              </w:rPr>
              <w:t xml:space="preserve">  </w:t>
            </w:r>
          </w:p>
          <w:p w:rsidR="000475DD" w:rsidRDefault="0001187D">
            <w:pPr>
              <w:jc w:val="both"/>
              <w:rPr>
                <w:rFonts w:ascii="Arial" w:eastAsia="Arial" w:hAnsi="Arial" w:cs="Arial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highlight w:val="white"/>
              </w:rPr>
              <w:t xml:space="preserve">Criterion Two: Brothers and sisters (including step-siblings, resident at the same address) of children </w:t>
            </w:r>
            <w:r>
              <w:rPr>
                <w:rFonts w:ascii="Arial" w:eastAsia="Arial" w:hAnsi="Arial" w:cs="Arial"/>
                <w:highlight w:val="white"/>
              </w:rPr>
              <w:lastRenderedPageBreak/>
              <w:t>currently enrolled in the school, in order of age, priority to the eldest.</w:t>
            </w:r>
          </w:p>
          <w:p w:rsidR="000475DD" w:rsidRDefault="0001187D">
            <w:pPr>
              <w:jc w:val="both"/>
              <w:rPr>
                <w:rFonts w:ascii="Arial" w:eastAsia="Arial" w:hAnsi="Arial" w:cs="Arial"/>
                <w:highlight w:val="white"/>
              </w:rPr>
            </w:pPr>
            <w:bookmarkStart w:id="1" w:name="_heading=h.u7u406fs7li1" w:colFirst="0" w:colLast="0"/>
            <w:bookmarkEnd w:id="1"/>
            <w:r>
              <w:rPr>
                <w:rFonts w:ascii="Arial" w:eastAsia="Arial" w:hAnsi="Arial" w:cs="Arial"/>
                <w:highlight w:val="white"/>
              </w:rPr>
              <w:t xml:space="preserve"> Offered  29 </w:t>
            </w:r>
          </w:p>
          <w:p w:rsidR="000475DD" w:rsidRDefault="0001187D">
            <w:pPr>
              <w:jc w:val="both"/>
              <w:rPr>
                <w:rFonts w:ascii="Arial" w:eastAsia="Arial" w:hAnsi="Arial" w:cs="Arial"/>
                <w:highlight w:val="white"/>
              </w:rPr>
            </w:pPr>
            <w:bookmarkStart w:id="2" w:name="_heading=h.abgct3o2bemp" w:colFirst="0" w:colLast="0"/>
            <w:bookmarkEnd w:id="2"/>
            <w:r>
              <w:rPr>
                <w:rFonts w:ascii="Arial" w:eastAsia="Arial" w:hAnsi="Arial" w:cs="Arial"/>
                <w:highlight w:val="white"/>
              </w:rPr>
              <w:t xml:space="preserve"> Accepted  29</w:t>
            </w:r>
          </w:p>
          <w:p w:rsidR="000475DD" w:rsidRDefault="0001187D">
            <w:pPr>
              <w:jc w:val="both"/>
              <w:rPr>
                <w:rFonts w:ascii="Arial" w:eastAsia="Arial" w:hAnsi="Arial" w:cs="Arial"/>
                <w:highlight w:val="white"/>
              </w:rPr>
            </w:pPr>
            <w:bookmarkStart w:id="3" w:name="_heading=h.ei7c8ur7e2u4" w:colFirst="0" w:colLast="0"/>
            <w:bookmarkEnd w:id="3"/>
            <w:r>
              <w:rPr>
                <w:rFonts w:ascii="Arial" w:eastAsia="Arial" w:hAnsi="Arial" w:cs="Arial"/>
                <w:highlight w:val="white"/>
              </w:rPr>
              <w:t xml:space="preserve">Criterion Three: Children of staff in order of age, priority to the eldest    </w:t>
            </w:r>
          </w:p>
          <w:p w:rsidR="000475DD" w:rsidRDefault="0001187D">
            <w:pPr>
              <w:jc w:val="both"/>
              <w:rPr>
                <w:rFonts w:ascii="Arial" w:eastAsia="Arial" w:hAnsi="Arial" w:cs="Arial"/>
                <w:highlight w:val="white"/>
              </w:rPr>
            </w:pPr>
            <w:bookmarkStart w:id="4" w:name="_heading=h.q1cwu42udb6j" w:colFirst="0" w:colLast="0"/>
            <w:bookmarkEnd w:id="4"/>
            <w:r>
              <w:rPr>
                <w:rFonts w:ascii="Arial" w:eastAsia="Arial" w:hAnsi="Arial" w:cs="Arial"/>
                <w:highlight w:val="white"/>
              </w:rPr>
              <w:t>Offered 0</w:t>
            </w:r>
          </w:p>
          <w:p w:rsidR="000475DD" w:rsidRDefault="0001187D">
            <w:pPr>
              <w:jc w:val="both"/>
              <w:rPr>
                <w:rFonts w:ascii="Arial" w:eastAsia="Arial" w:hAnsi="Arial" w:cs="Arial"/>
                <w:highlight w:val="white"/>
              </w:rPr>
            </w:pPr>
            <w:bookmarkStart w:id="5" w:name="_heading=h.cvlug8jcbzcu" w:colFirst="0" w:colLast="0"/>
            <w:bookmarkEnd w:id="5"/>
            <w:r>
              <w:rPr>
                <w:rFonts w:ascii="Arial" w:eastAsia="Arial" w:hAnsi="Arial" w:cs="Arial"/>
                <w:highlight w:val="white"/>
              </w:rPr>
              <w:t>Accepted 0</w:t>
            </w:r>
          </w:p>
          <w:p w:rsidR="000475DD" w:rsidRDefault="0001187D">
            <w:pPr>
              <w:jc w:val="both"/>
              <w:rPr>
                <w:rFonts w:ascii="Arial" w:eastAsia="Arial" w:hAnsi="Arial" w:cs="Arial"/>
                <w:highlight w:val="white"/>
              </w:rPr>
            </w:pPr>
            <w:bookmarkStart w:id="6" w:name="_heading=h.sxxw6zc369ey" w:colFirst="0" w:colLast="0"/>
            <w:bookmarkEnd w:id="6"/>
            <w:r>
              <w:rPr>
                <w:rFonts w:ascii="Arial" w:eastAsia="Arial" w:hAnsi="Arial" w:cs="Arial"/>
                <w:highlight w:val="white"/>
              </w:rPr>
              <w:t>Criterion Four:</w:t>
            </w:r>
            <w:r w:rsidR="00397828">
              <w:rPr>
                <w:rFonts w:ascii="Arial" w:eastAsia="Arial" w:hAnsi="Arial" w:cs="Arial"/>
                <w:highlight w:val="white"/>
              </w:rPr>
              <w:t xml:space="preserve"> </w:t>
            </w:r>
            <w:bookmarkStart w:id="7" w:name="_GoBack"/>
            <w:bookmarkEnd w:id="7"/>
            <w:r>
              <w:rPr>
                <w:rFonts w:ascii="Arial" w:eastAsia="Arial" w:hAnsi="Arial" w:cs="Arial"/>
                <w:highlight w:val="white"/>
              </w:rPr>
              <w:t>Children whose home address is closest to the school, outside the 1.2km radius</w:t>
            </w:r>
          </w:p>
          <w:p w:rsidR="000475DD" w:rsidRDefault="0001187D">
            <w:pPr>
              <w:jc w:val="both"/>
              <w:rPr>
                <w:rFonts w:ascii="Arial" w:eastAsia="Arial" w:hAnsi="Arial" w:cs="Arial"/>
                <w:highlight w:val="white"/>
              </w:rPr>
            </w:pPr>
            <w:bookmarkStart w:id="8" w:name="_heading=h.3q3lr9625ygp" w:colFirst="0" w:colLast="0"/>
            <w:bookmarkEnd w:id="8"/>
            <w:r>
              <w:rPr>
                <w:highlight w:val="white"/>
              </w:rPr>
              <w:t>(</w:t>
            </w:r>
            <w:proofErr w:type="gramStart"/>
            <w:r>
              <w:rPr>
                <w:rFonts w:ascii="Arial" w:eastAsia="Arial" w:hAnsi="Arial" w:cs="Arial"/>
                <w:highlight w:val="white"/>
              </w:rPr>
              <w:t>as</w:t>
            </w:r>
            <w:proofErr w:type="gramEnd"/>
            <w:r>
              <w:rPr>
                <w:rFonts w:ascii="Arial" w:eastAsia="Arial" w:hAnsi="Arial" w:cs="Arial"/>
                <w:highlight w:val="white"/>
              </w:rPr>
              <w:t xml:space="preserve"> measured by ordnance survey map).  </w:t>
            </w:r>
          </w:p>
          <w:p w:rsidR="000475DD" w:rsidRDefault="0001187D">
            <w:pPr>
              <w:jc w:val="both"/>
              <w:rPr>
                <w:rFonts w:ascii="Arial" w:eastAsia="Arial" w:hAnsi="Arial" w:cs="Arial"/>
                <w:highlight w:val="white"/>
              </w:rPr>
            </w:pPr>
            <w:bookmarkStart w:id="9" w:name="_heading=h.otmz5nswhouo" w:colFirst="0" w:colLast="0"/>
            <w:bookmarkEnd w:id="9"/>
            <w:r>
              <w:rPr>
                <w:rFonts w:ascii="Arial" w:eastAsia="Arial" w:hAnsi="Arial" w:cs="Arial"/>
                <w:highlight w:val="white"/>
              </w:rPr>
              <w:t>Offered  1  (SEU)</w:t>
            </w:r>
          </w:p>
          <w:p w:rsidR="000475DD" w:rsidRDefault="0001187D">
            <w:pPr>
              <w:jc w:val="both"/>
              <w:rPr>
                <w:rFonts w:ascii="Arial" w:eastAsia="Arial" w:hAnsi="Arial" w:cs="Arial"/>
                <w:highlight w:val="white"/>
              </w:rPr>
            </w:pPr>
            <w:bookmarkStart w:id="10" w:name="_heading=h.ry0vpr7xen9o" w:colFirst="0" w:colLast="0"/>
            <w:bookmarkEnd w:id="10"/>
            <w:r>
              <w:rPr>
                <w:rFonts w:ascii="Arial" w:eastAsia="Arial" w:hAnsi="Arial" w:cs="Arial"/>
                <w:highlight w:val="white"/>
              </w:rPr>
              <w:t>Accepted 1</w:t>
            </w:r>
          </w:p>
          <w:p w:rsidR="000475DD" w:rsidRDefault="000475DD">
            <w:pPr>
              <w:jc w:val="both"/>
              <w:rPr>
                <w:rFonts w:ascii="Arial" w:eastAsia="Arial" w:hAnsi="Arial" w:cs="Arial"/>
                <w:highlight w:val="white"/>
              </w:rPr>
            </w:pPr>
            <w:bookmarkStart w:id="11" w:name="_heading=h.sr1pf694slda" w:colFirst="0" w:colLast="0"/>
            <w:bookmarkEnd w:id="11"/>
          </w:p>
        </w:tc>
      </w:tr>
      <w:tr w:rsidR="000475DD">
        <w:tc>
          <w:tcPr>
            <w:tcW w:w="4508" w:type="dxa"/>
          </w:tcPr>
          <w:p w:rsidR="000475DD" w:rsidRDefault="0001187D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lastRenderedPageBreak/>
              <w:t>Total number of offers made</w:t>
            </w:r>
          </w:p>
        </w:tc>
        <w:tc>
          <w:tcPr>
            <w:tcW w:w="5126" w:type="dxa"/>
          </w:tcPr>
          <w:p w:rsidR="000475DD" w:rsidRDefault="0001187D">
            <w:pPr>
              <w:jc w:val="both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              51</w:t>
            </w:r>
          </w:p>
        </w:tc>
      </w:tr>
      <w:tr w:rsidR="000475DD">
        <w:tc>
          <w:tcPr>
            <w:tcW w:w="4508" w:type="dxa"/>
          </w:tcPr>
          <w:p w:rsidR="000475DD" w:rsidRDefault="0001187D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 Number of names placed on the waiting list for the school year concerned.</w:t>
            </w:r>
          </w:p>
        </w:tc>
        <w:tc>
          <w:tcPr>
            <w:tcW w:w="5126" w:type="dxa"/>
          </w:tcPr>
          <w:p w:rsidR="000475DD" w:rsidRDefault="0001187D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              31</w:t>
            </w:r>
          </w:p>
        </w:tc>
      </w:tr>
    </w:tbl>
    <w:p w:rsidR="000475DD" w:rsidRDefault="000475DD">
      <w:pPr>
        <w:rPr>
          <w:rFonts w:ascii="Times New Roman" w:eastAsia="Times New Roman" w:hAnsi="Times New Roman" w:cs="Times New Roman"/>
        </w:rPr>
      </w:pPr>
    </w:p>
    <w:p w:rsidR="000475DD" w:rsidRDefault="000475DD">
      <w:pPr>
        <w:spacing w:after="164" w:line="259" w:lineRule="auto"/>
        <w:ind w:left="-5"/>
        <w:rPr>
          <w:rFonts w:ascii="Times New Roman" w:eastAsia="Times New Roman" w:hAnsi="Times New Roman" w:cs="Times New Roman"/>
        </w:rPr>
      </w:pPr>
    </w:p>
    <w:sectPr w:rsidR="000475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CD" w:rsidRDefault="00197ECD">
      <w:pPr>
        <w:spacing w:after="0" w:line="240" w:lineRule="auto"/>
      </w:pPr>
      <w:r>
        <w:separator/>
      </w:r>
    </w:p>
  </w:endnote>
  <w:endnote w:type="continuationSeparator" w:id="0">
    <w:p w:rsidR="00197ECD" w:rsidRDefault="0019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DD" w:rsidRDefault="000475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DD" w:rsidRDefault="000475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DD" w:rsidRDefault="000475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CD" w:rsidRDefault="00197ECD">
      <w:pPr>
        <w:spacing w:after="0" w:line="240" w:lineRule="auto"/>
      </w:pPr>
      <w:r>
        <w:separator/>
      </w:r>
    </w:p>
  </w:footnote>
  <w:footnote w:type="continuationSeparator" w:id="0">
    <w:p w:rsidR="00197ECD" w:rsidRDefault="0019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DD" w:rsidRDefault="000475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DD" w:rsidRDefault="000475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DD" w:rsidRDefault="000475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DD"/>
    <w:rsid w:val="0001187D"/>
    <w:rsid w:val="000475DD"/>
    <w:rsid w:val="00197ECD"/>
    <w:rsid w:val="00397828"/>
    <w:rsid w:val="00B0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E7711-33AF-4C8A-B805-0CA01DE0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y95Tgwok/rHTSr7P31RcgD2PzQ==">AMUW2mWXEwHcSMQDRtM+Z7j2OhyUszo5zhsWuPAYo0uLpMPiskK0vmiqVd0D1vAv6yjlHh0AjpQ/NQqttK9DgtBVAlKKJEtnfS0HJb/y2Sxu7oYLvvTBcH7o+TzzC3o0Xvvej/nbHpShWj6mEvKApEf8wjvcm7spZyj/KOQHFeoX8Bmd33b/6Q97LP9Y1kxxcF8IRDuMfXvZqk9fy7irpsJPPZ+fxA+UhqMsQsyfjY56MYIo4+CUf3Uthcp3J1wrnBorAHyq1sI5vC2ZRrKIO6alV8c8yGQBcZZfZ7Wurqe7WYTOuDUvhqn8v9bBHrS0VUvGf6ifKkBN+Dcg4LNRrI9Gx57nE0XK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dcterms:created xsi:type="dcterms:W3CDTF">2023-01-30T22:14:00Z</dcterms:created>
  <dcterms:modified xsi:type="dcterms:W3CDTF">2023-01-31T18:41:00Z</dcterms:modified>
</cp:coreProperties>
</file>